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3A" w:rsidRPr="00E25698" w:rsidRDefault="00E25698" w:rsidP="00E2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40"/>
        </w:rPr>
      </w:pPr>
      <w:r w:rsidRPr="00E25698">
        <w:rPr>
          <w:sz w:val="40"/>
        </w:rPr>
        <w:t>Modification des tableau</w:t>
      </w:r>
      <w:r w:rsidR="00724CD6">
        <w:rPr>
          <w:sz w:val="40"/>
        </w:rPr>
        <w:t>x</w:t>
      </w:r>
      <w:r w:rsidRPr="00E25698">
        <w:rPr>
          <w:sz w:val="40"/>
        </w:rPr>
        <w:t xml:space="preserve"> EMP34 et EMP44</w:t>
      </w:r>
    </w:p>
    <w:p w:rsidR="00E25698" w:rsidRDefault="00E25698"/>
    <w:p w:rsidR="00E25698" w:rsidRDefault="00E25698" w:rsidP="00E25698">
      <w:pPr>
        <w:jc w:val="both"/>
      </w:pPr>
      <w:r>
        <w:t>Suite à la dernière MAJ du logiciel il vous est possible de paramétrer comme vous le désirez les objectifs de vos mesures statiques et opér</w:t>
      </w:r>
      <w:r w:rsidR="00724CD6">
        <w:t>ateurs. De ce fait nous avons dû</w:t>
      </w:r>
      <w:r>
        <w:t xml:space="preserve"> modifier les tableaux EMP34 et EMP44 afin de prendre en compte tous les cas de figure qui vous pourriez mettre en place dans les paramètres.</w:t>
      </w:r>
      <w:r w:rsidR="00724CD6">
        <w:t xml:space="preserve"> (tableau présent dans le</w:t>
      </w:r>
      <w:bookmarkStart w:id="0" w:name="_GoBack"/>
      <w:bookmarkEnd w:id="0"/>
      <w:r w:rsidR="00724CD6">
        <w:t xml:space="preserve"> rapport stratégie et rapport final)</w:t>
      </w:r>
    </w:p>
    <w:p w:rsidR="00E25698" w:rsidRDefault="00E25698"/>
    <w:p w:rsidR="00E25698" w:rsidRPr="00E25698" w:rsidRDefault="00E25698">
      <w:pPr>
        <w:rPr>
          <w:b/>
          <w:u w:val="single"/>
        </w:rPr>
      </w:pPr>
      <w:r w:rsidRPr="00E25698">
        <w:rPr>
          <w:b/>
          <w:u w:val="single"/>
        </w:rPr>
        <w:t xml:space="preserve">Tableau Avant : </w:t>
      </w:r>
    </w:p>
    <w:p w:rsidR="00E25698" w:rsidRDefault="00E25698">
      <w:r>
        <w:rPr>
          <w:noProof/>
          <w:lang w:eastAsia="fr-FR"/>
        </w:rPr>
        <w:drawing>
          <wp:inline distT="0" distB="0" distL="0" distR="0" wp14:anchorId="0C1537D1" wp14:editId="1D773ED8">
            <wp:extent cx="6238321" cy="13158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6376" cy="131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698" w:rsidRDefault="00E25698"/>
    <w:p w:rsidR="00E25698" w:rsidRPr="00E25698" w:rsidRDefault="00E25698">
      <w:pPr>
        <w:rPr>
          <w:b/>
          <w:u w:val="single"/>
        </w:rPr>
      </w:pPr>
      <w:r w:rsidRPr="00E25698">
        <w:rPr>
          <w:b/>
          <w:u w:val="single"/>
        </w:rPr>
        <w:t xml:space="preserve">Tableau Après : </w:t>
      </w:r>
    </w:p>
    <w:p w:rsidR="00E25698" w:rsidRDefault="00E25698">
      <w:r>
        <w:rPr>
          <w:noProof/>
          <w:lang w:eastAsia="fr-FR"/>
        </w:rPr>
        <w:drawing>
          <wp:inline distT="0" distB="0" distL="0" distR="0" wp14:anchorId="1E11773A" wp14:editId="7D78F843">
            <wp:extent cx="6133171" cy="1316487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384" cy="131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698" w:rsidRDefault="00E25698"/>
    <w:p w:rsidR="00E25698" w:rsidRDefault="00E25698">
      <w:r>
        <w:t>Mise en place de balise dans la première colonne (permettant de supprimer les lignes fonction de vos objectifs utilisés : « Li_ » + « lettre dans les paramètres » + « _sup » </w:t>
      </w:r>
    </w:p>
    <w:p w:rsidR="00E25698" w:rsidRDefault="00E25698"/>
    <w:p w:rsidR="00E25698" w:rsidRDefault="00E25698">
      <w:r>
        <w:t>Modification des balises de la dernière colonne « Li_Obj_A » devient « Li_A_Obj ».</w:t>
      </w:r>
    </w:p>
    <w:p w:rsidR="00E25698" w:rsidRDefault="00E25698"/>
    <w:p w:rsidR="00E25698" w:rsidRDefault="00E25698" w:rsidP="00E25698">
      <w:pPr>
        <w:pBdr>
          <w:top w:val="single" w:sz="4" w:space="1" w:color="auto"/>
        </w:pBdr>
      </w:pPr>
    </w:p>
    <w:p w:rsidR="00E25698" w:rsidRDefault="00E25698">
      <w:r>
        <w:br w:type="page"/>
      </w:r>
    </w:p>
    <w:p w:rsidR="00E25698" w:rsidRDefault="00E25698" w:rsidP="00E25698">
      <w:r>
        <w:lastRenderedPageBreak/>
        <w:t>Pour les paramètres standards de Liciel comme indiqué ci-dessous, il vous faudra utiliser les tableau présentés à la fin de ce word :</w:t>
      </w:r>
      <w:r>
        <w:rPr>
          <w:rFonts w:ascii="Verdana" w:hAnsi="Verdana" w:cs="Helvetica-Bold"/>
          <w:b/>
          <w:bCs/>
          <w:noProof/>
          <w:color w:val="000000"/>
          <w:sz w:val="20"/>
          <w:szCs w:val="18"/>
          <w:lang w:eastAsia="fr-FR"/>
        </w:rPr>
        <w:drawing>
          <wp:inline distT="0" distB="0" distL="0" distR="0" wp14:anchorId="4520F61B" wp14:editId="1C8E485F">
            <wp:extent cx="5753735" cy="3657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0C" w:rsidRDefault="00AD0F0C" w:rsidP="00AD0F0C">
      <w:pPr>
        <w:widowControl w:val="0"/>
        <w:autoSpaceDE w:val="0"/>
        <w:autoSpaceDN w:val="0"/>
        <w:adjustRightInd w:val="0"/>
        <w:spacing w:before="240"/>
        <w:rPr>
          <w:rFonts w:ascii="Verdana" w:hAnsi="Verdana" w:cs="Helvetica-Bold"/>
          <w:b/>
          <w:bCs/>
          <w:color w:val="000000"/>
          <w:sz w:val="20"/>
          <w:szCs w:val="1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3" w:type="dxa"/>
          <w:bottom w:w="23" w:type="dxa"/>
        </w:tblCellMar>
        <w:tblLook w:val="01E0" w:firstRow="1" w:lastRow="1" w:firstColumn="1" w:lastColumn="1" w:noHBand="0" w:noVBand="0"/>
      </w:tblPr>
      <w:tblGrid>
        <w:gridCol w:w="923"/>
        <w:gridCol w:w="2621"/>
        <w:gridCol w:w="2835"/>
        <w:gridCol w:w="4394"/>
      </w:tblGrid>
      <w:tr w:rsidR="00AD0F0C" w:rsidRPr="00C03D56" w:rsidTr="00126721">
        <w:trPr>
          <w:trHeight w:val="113"/>
          <w:tblHeader/>
        </w:trPr>
        <w:tc>
          <w:tcPr>
            <w:tcW w:w="923" w:type="dxa"/>
            <w:shd w:val="clear" w:color="auto" w:fill="D9D9D9"/>
            <w:vAlign w:val="center"/>
          </w:tcPr>
          <w:p w:rsidR="00AD0F0C" w:rsidRPr="00C03D56" w:rsidRDefault="00AD0F0C" w:rsidP="001267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highlight w:val="red"/>
              </w:rPr>
              <w:t>Emp34</w:t>
            </w:r>
            <w:r>
              <w:rPr>
                <w:rFonts w:ascii="Verdana" w:hAnsi="Verdana"/>
                <w:b/>
                <w:bCs/>
                <w:sz w:val="12"/>
              </w:rPr>
              <w:t>Reférence objectif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AD0F0C" w:rsidRPr="00C03D56" w:rsidRDefault="00AD0F0C" w:rsidP="00126721">
            <w:pPr>
              <w:jc w:val="center"/>
              <w:rPr>
                <w:rFonts w:ascii="Verdana" w:hAnsi="Verdana"/>
                <w:b/>
                <w:bCs/>
                <w:sz w:val="12"/>
              </w:rPr>
            </w:pPr>
            <w:r>
              <w:rPr>
                <w:rFonts w:ascii="Verdana" w:hAnsi="Verdana"/>
                <w:b/>
                <w:bCs/>
                <w:sz w:val="12"/>
              </w:rPr>
              <w:t>Question traduisant l’objectif de mesure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D0F0C" w:rsidRPr="00C03D56" w:rsidRDefault="00AD0F0C" w:rsidP="00126721">
            <w:pPr>
              <w:jc w:val="center"/>
              <w:rPr>
                <w:rFonts w:ascii="Verdana" w:hAnsi="Verdana"/>
                <w:b/>
                <w:bCs/>
                <w:sz w:val="12"/>
              </w:rPr>
            </w:pPr>
            <w:r>
              <w:rPr>
                <w:rFonts w:ascii="Verdana" w:hAnsi="Verdana"/>
                <w:b/>
                <w:bCs/>
                <w:sz w:val="12"/>
              </w:rPr>
              <w:t>Objectifs des mesures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AD0F0C" w:rsidRPr="00C03D56" w:rsidRDefault="00AD0F0C" w:rsidP="00126721">
            <w:pPr>
              <w:jc w:val="center"/>
              <w:rPr>
                <w:rFonts w:ascii="Verdana" w:hAnsi="Verdana"/>
                <w:b/>
                <w:bCs/>
                <w:sz w:val="12"/>
              </w:rPr>
            </w:pPr>
            <w:r>
              <w:rPr>
                <w:rFonts w:ascii="Verdana" w:hAnsi="Verdana"/>
                <w:b/>
                <w:bCs/>
                <w:sz w:val="12"/>
              </w:rPr>
              <w:t>Nom usuel de l’objectif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bookmarkStart w:id="1" w:name="_Hlk449958904"/>
            <w:r>
              <w:rPr>
                <w:rFonts w:ascii="Verdana" w:hAnsi="Verdana"/>
                <w:bCs/>
                <w:sz w:val="12"/>
                <w:szCs w:val="18"/>
              </w:rPr>
              <w:t>A</w:t>
            </w:r>
          </w:p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Li_A_sup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lors de l'utilisation normale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du local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Établir les concentrations courantes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 longue durée en fibres d'amiante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dans l'air intérieur lors de l'occupation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et de l'utilisation normale du bâtiment.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Cette mesure est communément appelée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« surveillance périodique ».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Li_A_Obj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B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Li_B_sup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lors d'une utilisation normale des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locaux où le niveau de conservation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des matériaux est « 3 »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Déterminer s'il est nécessaire de mettre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en oeuvre des actions d'urgence vis-à-vis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des personnes (évacuation, ....).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Li_B_Obj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C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Li_C_sup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d'amiante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lors d'une utilisation normale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de locaux dans lequel des mesures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conservatoires ont été mises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en oeuvre (locaux où le niveau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de conservation des matériaux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est « 3 » ou « 2 » avec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empoussièrement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d’amiante &gt; 5 fibres par litre)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Surveiller l'empoussièrement de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par des fibres d'amiante afin de s'assurer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que les mesures conservatoires mises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en oeuvre permettent de garantir que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le niveau d'empoussièrement des locaux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occupés est le plus bas possible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et inférieur à la valeur limite fixée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par la réglementation.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Déterminer si les mesures conservatoires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restent pérennes jusqu'à la réalisation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des travaux de traitement.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Li_C_Obj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D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Li_D_sup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d'amiante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lors d'une utilisation normale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des locaux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Déterminer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d'amiante dans les locaux.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Li_D_Obj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E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Li_E_sup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Quelle est la concetration de fibres d’amiante en suspension dans l’air dans la zone affectée par l’incident ?</w:t>
            </w:r>
          </w:p>
        </w:tc>
        <w:tc>
          <w:tcPr>
            <w:tcW w:w="2835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Surveiller l’empoussièrement de l’air par des fibres d’amiante pour :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déterminer la pollution résiduelle ;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</w:t>
            </w:r>
            <w:r>
              <w:rPr>
                <w:rFonts w:ascii="Verdana" w:hAnsi="Verdana"/>
                <w:bCs/>
                <w:sz w:val="12"/>
                <w:szCs w:val="18"/>
              </w:rPr>
              <w:t>déterminer si la zone affectée par l’incident doit être évacuée ou maintenue évacuée ;</w:t>
            </w:r>
          </w:p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vérifier que les actions immédiates mises en œuvre sont adaptées.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Li_E_Obj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F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Li_F_sup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d'amiante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dans la zone affectée par l'incident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après sa dépollution et/ou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son nettoyage ?</w:t>
            </w:r>
          </w:p>
        </w:tc>
        <w:tc>
          <w:tcPr>
            <w:tcW w:w="2835" w:type="dxa"/>
            <w:vAlign w:val="center"/>
          </w:tcPr>
          <w:p w:rsidR="00AD0F0C" w:rsidRPr="00C75969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Définir si :</w:t>
            </w:r>
          </w:p>
          <w:p w:rsidR="00AD0F0C" w:rsidRPr="00C75969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 xml:space="preserve"> la dépollution et/ou le nettoyage ont été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efficaces ;</w:t>
            </w:r>
          </w:p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 xml:space="preserve"> les locaux peuvent être réoccupés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après dépollution et/ou nettoyage.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Li_F_Obj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G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Li_G_sup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référence en fibres d'amiante en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suspension dans l'air devant servir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d'élément de comparaison pour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les effets d'une activité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Déterminer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d'amiante des locaux directement ou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indirectement affectés par la réalisation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des travaux.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Pouvoir comparer des valeurs « avant,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pendant et après travaux ».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Cette mesure est appelée « état initial ».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Li_G_Obj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lastRenderedPageBreak/>
              <w:t>H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Li_H_sup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Les mesures de protection mises en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oeuvre pour les travaux sont-elles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adaptées aux risques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Déterminer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d'amiante dès l’installation du chantier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 travaux liés à l’amiante et contribuer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à valider les mesures de protection issues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 l’évaluation des risques pour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ces travaux.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Li_H_Obj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Li_L_sup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d'amiante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des locaux, maintenus en activité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ou occupés (locaux adjacents,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supérieurs...) hors zones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d'intervention de l'entreprise,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risquant d’être impactés ?</w:t>
            </w:r>
          </w:p>
        </w:tc>
        <w:tc>
          <w:tcPr>
            <w:tcW w:w="2835" w:type="dxa"/>
            <w:vAlign w:val="center"/>
          </w:tcPr>
          <w:p w:rsidR="00AD0F0C" w:rsidRPr="0044528A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Déterminer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d'amiante en suspension dans l'air des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locaux extérieurs à la zone de chantier,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maintenus en activité ou occupés afin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 s'assurer que :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ces locaux ne sont pas pollués par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l'activité en cours ;</w:t>
            </w:r>
          </w:p>
          <w:p w:rsidR="00AD0F0C" w:rsidRPr="0044528A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les mesures de protection mises en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oeuvre pour la réalisation des travaux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sont efficaces ;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les occupants de ces locaux ne sont pas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exposés.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</w:p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Cette mesure est communément appelée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« environnementale ».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Li_L_Obj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M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Li_M_sup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des locaux affectés directement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par la réalisation des travaux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(couloir d'accès à la zone de travail,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pièces affectées par les vibrations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des travaux...) ?</w:t>
            </w:r>
          </w:p>
        </w:tc>
        <w:tc>
          <w:tcPr>
            <w:tcW w:w="2835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Permettre à l’entreprise en charge des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travaux de connaître la concentration en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fibres 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des locaux affectés directement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ou indirectement par la réalisation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des travaux afin de s'assurer que :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</w:p>
          <w:p w:rsidR="00AD0F0C" w:rsidRPr="0044528A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ces locaux ne sont pas pollués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par l'activité en cours ;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les mesures de protection mises en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oeuvre pour la réalisation des travaux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sont efficaces.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</w:p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Cette mesure est communément appelée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« environnementale chantier ».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Li_M_Obj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N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Li_N_sup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à proximité des rejets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d’extracteur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Permettre à l’entreprise en charge des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travaux de vérifier l’absence de rejets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 fibres d’amiante par les extracteurs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Li_N_Obj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O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Li_O_sup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dans la zone de travaux délimitée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(confinée ou non confinée)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Déterminer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d’amiante dans les zones de travaux afin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 contribuer à la validation de l'analyse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 risques de l'entreprise.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Li_O_Obj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P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Li_P_sup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dans la zone d’approche du sas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personnel ?</w:t>
            </w:r>
          </w:p>
        </w:tc>
        <w:tc>
          <w:tcPr>
            <w:tcW w:w="2835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Déterminer la concentration en fibres d’amiante en suspension dans l'air de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zone d’approche afin de s'assurer que le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travailleur n'est pas exposé à l'inhalation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 fibres d’amiante lorsqu'il n’a pas sa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protection respiratoire.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</w:p>
          <w:p w:rsidR="00AD0F0C" w:rsidRPr="0044528A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NOTE En cas de pollution, rechercher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son origine en vérifiant notamment que :</w:t>
            </w:r>
          </w:p>
          <w:p w:rsidR="00AD0F0C" w:rsidRPr="0044528A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les opérateurs respectent les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procédures de sortie de la zone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contaminée ;</w:t>
            </w:r>
          </w:p>
          <w:p w:rsidR="00AD0F0C" w:rsidRPr="0044528A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l’aéraulique du sas, quand il existe,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fonctionne normalement ;</w:t>
            </w:r>
          </w:p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l’air introduit dans la zone d’approche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n’est pas à l’origine de la pollution.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Li_P_Obj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Q Li_Q_sup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dans la zone de récupération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Déterminer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d’amiante en suspension dans l'air de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zone de récupération afin de s'assurer que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le travailleur n'est pas exposé à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l'inhalation de fibres d’amiante lorsqu'il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ne porte pas sa protection respiratoire.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Li_Q_Obj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R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Li_R_sup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dans le compartiment vestiaire de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l’unité mobile de décontamination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Déterminer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d’amiante en suspension dans l'air de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zone vestiaire de l’unité mobile de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décontamination afin de s'assurer que le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travailleur n'est pas exposé à l'inhalation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 fibres d’amiante lorsqu'il ne porte pas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sa protection respiratoire.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Li_R_Obj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S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Li_S_sup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dans la zone d’approche du sas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 décontamination des déchets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et matériels ?</w:t>
            </w:r>
          </w:p>
        </w:tc>
        <w:tc>
          <w:tcPr>
            <w:tcW w:w="2835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Déterminer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d’amiante en suspension dans l'air de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zone d’approche du sas matériel.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</w:p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NOTE En cas de pollution, recherche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sur l’origine en vérifiant notamment que :</w:t>
            </w:r>
          </w:p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— les travailleurs respectent les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procédures de sortie de déchets et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de matériels de la zone contaminée ;</w:t>
            </w:r>
          </w:p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— l'aéraulique du sas fonctionne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normalement ;</w:t>
            </w:r>
          </w:p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— l’air introduit dans la zone d’approche</w:t>
            </w:r>
          </w:p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n’est pas à l’origine de la pollution.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Li_S_Obj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T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Li_T_sup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des zones traitées est-elle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suffisamment réduite pour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permettre le port d'une protection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respiratoire individuelle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compatible avec la réalisation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 l'examen visuel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Mesurer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de la zone traitée.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Li_T_Obj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lastRenderedPageBreak/>
              <w:t>U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Li_U_sup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d'amiante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est-elle suffisamment réduite pour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permettre le retrait des moyens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 protection collective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(arrêt des extracteurs,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démantèlement du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confinement, …)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Déterminer si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d'amiante en suspension dans l'air de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la zone traitée a été réduite à une valeur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acceptable pour permettre le retrait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des moyens de protection collective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et le démantèlement du confinement.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Cette mesure est communément appelée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« restitution 1 » (ou « libératoire »).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Li_U_Obj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V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Li_V_sup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d'amiante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est-elle inférieure à la limite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admissible pour la restitution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du chantier par l'entreprise de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désamiantage ou pour la mise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à disposition des locaux pour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réaliser d'autres travaux ?</w:t>
            </w:r>
          </w:p>
        </w:tc>
        <w:tc>
          <w:tcPr>
            <w:tcW w:w="2835" w:type="dxa"/>
            <w:vAlign w:val="center"/>
          </w:tcPr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Déterminer si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d'amiante en suspension dans l'air de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zone traitée a été réduite à une valeur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acceptable pour :</w:t>
            </w:r>
          </w:p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— confirmer l'absence de pollution dans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les locaux traités ;</w:t>
            </w:r>
          </w:p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— marquer la fin des travaux pour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l'entreprise de désamiantage ;</w:t>
            </w:r>
          </w:p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— permettre à des salariés d'autres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entreprises de réaliser des travaux dans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des locaux ayant subi des travaux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de traitement de matériaux contenant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de l'amiante.</w:t>
            </w:r>
          </w:p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Cette mesure est communément appelée</w:t>
            </w:r>
          </w:p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« fin de chantier amiante ».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Li_V_Obj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W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Li_W_sup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d'amiante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est-elle suffisamment réduite pour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le retrait des moyens de protection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collective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Déterminer si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d'amiante en suspension dans l'air de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zone de travail a été réduite à une valeur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acceptable pour permettre le retrait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des moyens de protection collective.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Li_W_Obj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X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Li_X_sup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d'amiante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est-elle inférieure à la limite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admissible pour la restitution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du chantier par l'entreprise ?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Déterminer si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d'amiante en suspension dans l'air de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zone de travail a été réduite à une valeur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acceptable pour confirmer l'absence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de pollution.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Li_X_Obj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Y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Li_Y_sup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C75969">
              <w:rPr>
                <w:rFonts w:ascii="Verdana" w:hAnsi="Verdana"/>
                <w:bCs/>
                <w:sz w:val="12"/>
                <w:szCs w:val="18"/>
              </w:rPr>
              <w:t>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d'amiante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est-elle inférieure à la valeur limite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admissible pour la réoccupation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C75969">
              <w:rPr>
                <w:rFonts w:ascii="Verdana" w:hAnsi="Verdana"/>
                <w:bCs/>
                <w:sz w:val="12"/>
                <w:szCs w:val="18"/>
              </w:rPr>
              <w:t>des locaux ?</w:t>
            </w:r>
          </w:p>
        </w:tc>
        <w:tc>
          <w:tcPr>
            <w:tcW w:w="2835" w:type="dxa"/>
            <w:vAlign w:val="center"/>
          </w:tcPr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Déterminer si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d'amiante en suspension dans l'air de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zone traitée a été réduite à une valeur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acceptable pour :</w:t>
            </w:r>
          </w:p>
          <w:p w:rsidR="00AD0F0C" w:rsidRPr="00B97B17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— s'assurer que les travaux réalisés après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les travaux de traitement de l'amiante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n'ont pas pollué les locaux ;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— autoriser la réoccupation des locaux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par les usagers.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</w:p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B97B17">
              <w:rPr>
                <w:rFonts w:ascii="Verdana" w:hAnsi="Verdana"/>
                <w:bCs/>
                <w:sz w:val="12"/>
                <w:szCs w:val="18"/>
              </w:rPr>
              <w:t>Cette mesure communément appelée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« restitution 2 » correspond à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restitution dans le code de la santé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B97B17">
              <w:rPr>
                <w:rFonts w:ascii="Verdana" w:hAnsi="Verdana"/>
                <w:bCs/>
                <w:sz w:val="12"/>
                <w:szCs w:val="18"/>
              </w:rPr>
              <w:t>publique.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Li_Y_Obj</w:t>
            </w:r>
          </w:p>
        </w:tc>
      </w:tr>
      <w:bookmarkEnd w:id="1"/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Divers1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Li_Divers1_sup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F20A09">
              <w:rPr>
                <w:rFonts w:ascii="Verdana" w:hAnsi="Verdana"/>
                <w:bCs/>
                <w:sz w:val="12"/>
                <w:szCs w:val="18"/>
              </w:rPr>
              <w:t>Question traduisant l’objectif de mesure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Divers1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O</w:t>
            </w:r>
            <w:r w:rsidRPr="00F20A09">
              <w:rPr>
                <w:rFonts w:ascii="Verdana" w:hAnsi="Verdana"/>
                <w:bCs/>
                <w:sz w:val="12"/>
                <w:szCs w:val="18"/>
              </w:rPr>
              <w:t>bjectif de mesure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Divers1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Li_Divers1_Obj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Divers2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Li_Divers2_sup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F20A09">
              <w:rPr>
                <w:rFonts w:ascii="Verdana" w:hAnsi="Verdana"/>
                <w:bCs/>
                <w:sz w:val="12"/>
                <w:szCs w:val="18"/>
              </w:rPr>
              <w:t>Question traduisant l’objectif de mesure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Divers2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O</w:t>
            </w:r>
            <w:r w:rsidRPr="00F20A09">
              <w:rPr>
                <w:rFonts w:ascii="Verdana" w:hAnsi="Verdana"/>
                <w:bCs/>
                <w:sz w:val="12"/>
                <w:szCs w:val="18"/>
              </w:rPr>
              <w:t>bjectif de mesure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Divers2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Li_Divers2_Obj</w:t>
            </w:r>
          </w:p>
        </w:tc>
      </w:tr>
      <w:tr w:rsidR="00AD0F0C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Divers3</w:t>
            </w:r>
          </w:p>
          <w:p w:rsidR="00AD0F0C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Li_Divers3_sup</w:t>
            </w:r>
          </w:p>
        </w:tc>
        <w:tc>
          <w:tcPr>
            <w:tcW w:w="2621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F20A09">
              <w:rPr>
                <w:rFonts w:ascii="Verdana" w:hAnsi="Verdana"/>
                <w:bCs/>
                <w:sz w:val="12"/>
                <w:szCs w:val="18"/>
              </w:rPr>
              <w:t>Question traduisant l’objectif de mesure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Divers</w:t>
            </w:r>
          </w:p>
        </w:tc>
        <w:tc>
          <w:tcPr>
            <w:tcW w:w="2835" w:type="dxa"/>
            <w:vAlign w:val="center"/>
          </w:tcPr>
          <w:p w:rsidR="00AD0F0C" w:rsidRPr="00C03D56" w:rsidRDefault="00AD0F0C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O</w:t>
            </w:r>
            <w:r w:rsidRPr="00F20A09">
              <w:rPr>
                <w:rFonts w:ascii="Verdana" w:hAnsi="Verdana"/>
                <w:bCs/>
                <w:sz w:val="12"/>
                <w:szCs w:val="18"/>
              </w:rPr>
              <w:t>bjectif de mesure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Divers3</w:t>
            </w:r>
          </w:p>
        </w:tc>
        <w:tc>
          <w:tcPr>
            <w:tcW w:w="4394" w:type="dxa"/>
            <w:vAlign w:val="center"/>
          </w:tcPr>
          <w:p w:rsidR="00AD0F0C" w:rsidRPr="00C03D56" w:rsidRDefault="00AD0F0C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Li_Divers3_Obj</w:t>
            </w:r>
          </w:p>
        </w:tc>
      </w:tr>
    </w:tbl>
    <w:p w:rsidR="00AD0F0C" w:rsidRDefault="00AD0F0C" w:rsidP="00AD0F0C">
      <w:pPr>
        <w:pStyle w:val="xl28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right="113"/>
        <w:rPr>
          <w:rFonts w:ascii="Verdana" w:hAnsi="Verdana"/>
          <w:sz w:val="16"/>
        </w:rPr>
      </w:pPr>
    </w:p>
    <w:p w:rsidR="00015B63" w:rsidRDefault="00015B63" w:rsidP="00015B63">
      <w:pPr>
        <w:widowControl w:val="0"/>
        <w:autoSpaceDE w:val="0"/>
        <w:autoSpaceDN w:val="0"/>
        <w:adjustRightInd w:val="0"/>
        <w:spacing w:before="240"/>
        <w:rPr>
          <w:rFonts w:ascii="Verdana" w:hAnsi="Verdana" w:cs="Helvetica-Bold"/>
          <w:b/>
          <w:bCs/>
          <w:color w:val="000000"/>
          <w:sz w:val="20"/>
          <w:szCs w:val="1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3" w:type="dxa"/>
          <w:bottom w:w="23" w:type="dxa"/>
        </w:tblCellMar>
        <w:tblLook w:val="01E0" w:firstRow="1" w:lastRow="1" w:firstColumn="1" w:lastColumn="1" w:noHBand="0" w:noVBand="0"/>
      </w:tblPr>
      <w:tblGrid>
        <w:gridCol w:w="923"/>
        <w:gridCol w:w="2621"/>
        <w:gridCol w:w="2835"/>
        <w:gridCol w:w="4394"/>
      </w:tblGrid>
      <w:tr w:rsidR="00015B63" w:rsidRPr="00C03D56" w:rsidTr="00126721">
        <w:trPr>
          <w:trHeight w:val="113"/>
          <w:tblHeader/>
        </w:trPr>
        <w:tc>
          <w:tcPr>
            <w:tcW w:w="923" w:type="dxa"/>
            <w:shd w:val="clear" w:color="auto" w:fill="D9D9D9"/>
            <w:vAlign w:val="center"/>
          </w:tcPr>
          <w:p w:rsidR="00015B63" w:rsidRPr="00C03D56" w:rsidRDefault="00015B63" w:rsidP="001267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highlight w:val="red"/>
              </w:rPr>
              <w:t>Emp44</w:t>
            </w:r>
            <w:r>
              <w:rPr>
                <w:rFonts w:ascii="Verdana" w:hAnsi="Verdana"/>
                <w:b/>
                <w:bCs/>
                <w:sz w:val="12"/>
              </w:rPr>
              <w:t>Reférence objectif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015B63" w:rsidRPr="00C03D56" w:rsidRDefault="00015B63" w:rsidP="00126721">
            <w:pPr>
              <w:jc w:val="center"/>
              <w:rPr>
                <w:rFonts w:ascii="Verdana" w:hAnsi="Verdana"/>
                <w:b/>
                <w:bCs/>
                <w:sz w:val="12"/>
              </w:rPr>
            </w:pPr>
            <w:r>
              <w:rPr>
                <w:rFonts w:ascii="Verdana" w:hAnsi="Verdana"/>
                <w:b/>
                <w:bCs/>
                <w:sz w:val="12"/>
              </w:rPr>
              <w:t>Question traduisant l’objecti de mesure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15B63" w:rsidRPr="00C03D56" w:rsidRDefault="00015B63" w:rsidP="00126721">
            <w:pPr>
              <w:jc w:val="center"/>
              <w:rPr>
                <w:rFonts w:ascii="Verdana" w:hAnsi="Verdana"/>
                <w:b/>
                <w:bCs/>
                <w:sz w:val="12"/>
              </w:rPr>
            </w:pPr>
            <w:r>
              <w:rPr>
                <w:rFonts w:ascii="Verdana" w:hAnsi="Verdana"/>
                <w:b/>
                <w:bCs/>
                <w:sz w:val="12"/>
              </w:rPr>
              <w:t>Objectifs des mesures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015B63" w:rsidRPr="00C03D56" w:rsidRDefault="00015B63" w:rsidP="00126721">
            <w:pPr>
              <w:jc w:val="center"/>
              <w:rPr>
                <w:rFonts w:ascii="Verdana" w:hAnsi="Verdana"/>
                <w:b/>
                <w:bCs/>
                <w:sz w:val="12"/>
              </w:rPr>
            </w:pPr>
            <w:r>
              <w:rPr>
                <w:rFonts w:ascii="Verdana" w:hAnsi="Verdana"/>
                <w:b/>
                <w:bCs/>
                <w:sz w:val="12"/>
              </w:rPr>
              <w:t>Nom usuel de l’objectif</w:t>
            </w:r>
          </w:p>
        </w:tc>
      </w:tr>
      <w:tr w:rsidR="00015B63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015B63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I</w:t>
            </w:r>
          </w:p>
          <w:p w:rsidR="00015B63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Li_I_sup</w:t>
            </w:r>
          </w:p>
        </w:tc>
        <w:tc>
          <w:tcPr>
            <w:tcW w:w="2621" w:type="dxa"/>
            <w:vAlign w:val="center"/>
          </w:tcPr>
          <w:p w:rsidR="00015B63" w:rsidRPr="00C03D56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lors de l'activité du travailleur ?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Les moyens de prévention mis en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oeuvre sont-ils adaptés au niveau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d'empoussièrement mesuré ?</w:t>
            </w:r>
          </w:p>
        </w:tc>
        <w:tc>
          <w:tcPr>
            <w:tcW w:w="2835" w:type="dxa"/>
            <w:vAlign w:val="center"/>
          </w:tcPr>
          <w:p w:rsidR="00015B63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Déterminer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d’amiante au début de l'intervention de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l'entreprise dans la zone de travail pour :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</w:p>
          <w:p w:rsidR="00015B63" w:rsidRPr="0044528A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s'assurer de l'absence de pollution ;</w:t>
            </w:r>
          </w:p>
          <w:p w:rsidR="00015B63" w:rsidRPr="0044528A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valider l'analyse de risques au cours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des différentes phases de préparation ;</w:t>
            </w:r>
          </w:p>
          <w:p w:rsidR="00015B63" w:rsidRPr="00C03D56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— valider le choix des moyens de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prévention, et notamment ceux relatifs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à la protection respiratoire.</w:t>
            </w:r>
          </w:p>
        </w:tc>
        <w:tc>
          <w:tcPr>
            <w:tcW w:w="4394" w:type="dxa"/>
            <w:vAlign w:val="center"/>
          </w:tcPr>
          <w:p w:rsidR="00015B63" w:rsidRPr="00C03D56" w:rsidRDefault="00015B63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Li_I_Obj</w:t>
            </w:r>
          </w:p>
        </w:tc>
      </w:tr>
      <w:tr w:rsidR="00015B63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015B63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J</w:t>
            </w:r>
          </w:p>
          <w:p w:rsidR="00015B63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Li_J_sup</w:t>
            </w:r>
          </w:p>
        </w:tc>
        <w:tc>
          <w:tcPr>
            <w:tcW w:w="2621" w:type="dxa"/>
            <w:vAlign w:val="center"/>
          </w:tcPr>
          <w:p w:rsidR="00015B63" w:rsidRPr="00C03D56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lors de l'activité du travailleur lors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de l’évaluation ou de la validation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du processus ?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Les moyens de prévention prévus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et mis en oeuvre sont-ils adaptés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au niveau d'empoussièrement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mesuré ?</w:t>
            </w:r>
          </w:p>
        </w:tc>
        <w:tc>
          <w:tcPr>
            <w:tcW w:w="2835" w:type="dxa"/>
            <w:vAlign w:val="center"/>
          </w:tcPr>
          <w:p w:rsidR="00015B63" w:rsidRPr="00C03D56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Évaluer l'empoussièrement de l'air par des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fibres d’amiante, au cours des différentes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phases opérationneles, afin d’estimer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le risque d’inhalation compte-tenu du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facteur de protection assigné de l’appareil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 protection respiratoire mis à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disposition des travailleurs, suite à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l'analyse de risques dans le but d’abaisser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au maximum ce risque et de permettre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le calcul de l’exposition.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Valider les processus de travail.</w:t>
            </w:r>
          </w:p>
        </w:tc>
        <w:tc>
          <w:tcPr>
            <w:tcW w:w="4394" w:type="dxa"/>
            <w:vAlign w:val="center"/>
          </w:tcPr>
          <w:p w:rsidR="00015B63" w:rsidRPr="00C03D56" w:rsidRDefault="00015B63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Li_J_Obj</w:t>
            </w:r>
          </w:p>
        </w:tc>
      </w:tr>
      <w:tr w:rsidR="00015B63" w:rsidRPr="00C03D56" w:rsidTr="00126721">
        <w:trPr>
          <w:trHeight w:val="42"/>
          <w:tblHeader/>
        </w:trPr>
        <w:tc>
          <w:tcPr>
            <w:tcW w:w="923" w:type="dxa"/>
            <w:vAlign w:val="center"/>
          </w:tcPr>
          <w:p w:rsidR="00015B63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K</w:t>
            </w:r>
          </w:p>
          <w:p w:rsidR="00015B63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Li_K_sup</w:t>
            </w:r>
          </w:p>
        </w:tc>
        <w:tc>
          <w:tcPr>
            <w:tcW w:w="2621" w:type="dxa"/>
            <w:vAlign w:val="center"/>
          </w:tcPr>
          <w:p w:rsidR="00015B63" w:rsidRPr="00C03D56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573DF7">
              <w:rPr>
                <w:rFonts w:ascii="Verdana" w:hAnsi="Verdana"/>
                <w:bCs/>
                <w:sz w:val="12"/>
                <w:szCs w:val="18"/>
              </w:rPr>
              <w:t>Quelle est la concentration de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d’amiante en suspension dans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lors de l'activité du travailleur ?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Les moyens de prévention mis en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573DF7">
              <w:rPr>
                <w:rFonts w:ascii="Verdana" w:hAnsi="Verdana"/>
                <w:bCs/>
                <w:sz w:val="12"/>
                <w:szCs w:val="18"/>
              </w:rPr>
              <w:t>oeuvre restent-ils adaptés ?</w:t>
            </w:r>
          </w:p>
        </w:tc>
        <w:tc>
          <w:tcPr>
            <w:tcW w:w="2835" w:type="dxa"/>
            <w:vAlign w:val="center"/>
          </w:tcPr>
          <w:p w:rsidR="00015B63" w:rsidRPr="00C03D56" w:rsidRDefault="00015B63" w:rsidP="00126721">
            <w:pPr>
              <w:tabs>
                <w:tab w:val="left" w:pos="993"/>
                <w:tab w:val="left" w:pos="1080"/>
                <w:tab w:val="left" w:pos="2410"/>
              </w:tabs>
              <w:ind w:left="11"/>
              <w:jc w:val="both"/>
              <w:rPr>
                <w:rFonts w:ascii="Verdana" w:hAnsi="Verdana"/>
                <w:bCs/>
                <w:sz w:val="12"/>
                <w:szCs w:val="18"/>
              </w:rPr>
            </w:pPr>
            <w:r w:rsidRPr="0044528A">
              <w:rPr>
                <w:rFonts w:ascii="Verdana" w:hAnsi="Verdana"/>
                <w:bCs/>
                <w:sz w:val="12"/>
                <w:szCs w:val="18"/>
              </w:rPr>
              <w:t>Surveiller l'empoussièrement de l'air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par des fibres d’amiante, au cours des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différentes phases opérationnelles, afin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de savoir si la concentration en fibres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d’amiante ne dépasse pas la valeur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obtenue lors de l’évaluation et de la</w:t>
            </w:r>
            <w:r>
              <w:rPr>
                <w:rFonts w:ascii="Verdana" w:hAnsi="Verdana"/>
                <w:bCs/>
                <w:sz w:val="12"/>
                <w:szCs w:val="18"/>
              </w:rPr>
              <w:t xml:space="preserve"> </w:t>
            </w:r>
            <w:r w:rsidRPr="0044528A">
              <w:rPr>
                <w:rFonts w:ascii="Verdana" w:hAnsi="Verdana"/>
                <w:bCs/>
                <w:sz w:val="12"/>
                <w:szCs w:val="18"/>
              </w:rPr>
              <w:t>validation des processus.</w:t>
            </w:r>
          </w:p>
        </w:tc>
        <w:tc>
          <w:tcPr>
            <w:tcW w:w="4394" w:type="dxa"/>
            <w:vAlign w:val="center"/>
          </w:tcPr>
          <w:p w:rsidR="00015B63" w:rsidRPr="00C03D56" w:rsidRDefault="00015B63" w:rsidP="00126721">
            <w:pPr>
              <w:ind w:left="11"/>
              <w:jc w:val="center"/>
              <w:rPr>
                <w:rFonts w:ascii="Verdana" w:hAnsi="Verdana"/>
                <w:bCs/>
                <w:sz w:val="12"/>
                <w:szCs w:val="18"/>
              </w:rPr>
            </w:pPr>
            <w:r>
              <w:rPr>
                <w:rFonts w:ascii="Verdana" w:hAnsi="Verdana"/>
                <w:bCs/>
                <w:sz w:val="12"/>
                <w:szCs w:val="18"/>
              </w:rPr>
              <w:t>Li_K_Obj</w:t>
            </w:r>
          </w:p>
        </w:tc>
      </w:tr>
    </w:tbl>
    <w:p w:rsidR="00E25698" w:rsidRDefault="00E25698"/>
    <w:sectPr w:rsidR="00E2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98"/>
    <w:rsid w:val="00015B63"/>
    <w:rsid w:val="005C543A"/>
    <w:rsid w:val="00724CD6"/>
    <w:rsid w:val="007B2922"/>
    <w:rsid w:val="00AC2D9B"/>
    <w:rsid w:val="00AD0F0C"/>
    <w:rsid w:val="00E2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9B"/>
    <w:rPr>
      <w:sz w:val="24"/>
      <w:szCs w:val="24"/>
    </w:rPr>
  </w:style>
  <w:style w:type="paragraph" w:styleId="Titre1">
    <w:name w:val="heading 1"/>
    <w:basedOn w:val="Titre5"/>
    <w:next w:val="Normal"/>
    <w:link w:val="Titre1Car"/>
    <w:qFormat/>
    <w:rsid w:val="00AC2D9B"/>
    <w:pPr>
      <w:outlineLvl w:val="0"/>
    </w:pPr>
    <w:rPr>
      <w:rFonts w:eastAsia="Times New Roman" w:cs="Times New Roman"/>
    </w:rPr>
  </w:style>
  <w:style w:type="paragraph" w:styleId="Titre5">
    <w:name w:val="heading 5"/>
    <w:aliases w:val="Titre 5 Car Car"/>
    <w:basedOn w:val="Normal"/>
    <w:next w:val="Normal"/>
    <w:link w:val="Titre5Car"/>
    <w:qFormat/>
    <w:rsid w:val="00AC2D9B"/>
    <w:pPr>
      <w:tabs>
        <w:tab w:val="left" w:pos="993"/>
        <w:tab w:val="left" w:pos="2410"/>
      </w:tabs>
      <w:spacing w:before="120" w:after="120"/>
      <w:jc w:val="both"/>
      <w:outlineLvl w:val="4"/>
    </w:pPr>
    <w:rPr>
      <w:rFonts w:eastAsiaTheme="majorEastAsia" w:cstheme="majorBidi"/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qFormat/>
    <w:rsid w:val="00AC2D9B"/>
    <w:rPr>
      <w:rFonts w:ascii="Calibri" w:eastAsia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rsid w:val="00AC2D9B"/>
    <w:rPr>
      <w:b/>
      <w:bCs/>
      <w:smallCaps/>
      <w:sz w:val="24"/>
      <w:szCs w:val="24"/>
    </w:rPr>
  </w:style>
  <w:style w:type="character" w:customStyle="1" w:styleId="Titre5Car">
    <w:name w:val="Titre 5 Car"/>
    <w:aliases w:val="Titre 5 Car Car Car"/>
    <w:basedOn w:val="Policepardfaut"/>
    <w:link w:val="Titre5"/>
    <w:rsid w:val="00AC2D9B"/>
    <w:rPr>
      <w:rFonts w:eastAsiaTheme="majorEastAsia" w:cstheme="majorBidi"/>
      <w:b/>
      <w:bCs/>
      <w:smallCaps/>
      <w:sz w:val="24"/>
      <w:szCs w:val="24"/>
    </w:rPr>
  </w:style>
  <w:style w:type="character" w:styleId="lev">
    <w:name w:val="Strong"/>
    <w:uiPriority w:val="22"/>
    <w:qFormat/>
    <w:rsid w:val="00AC2D9B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2D9B"/>
    <w:pPr>
      <w:keepNext/>
      <w:keepLines/>
      <w:tabs>
        <w:tab w:val="clear" w:pos="993"/>
        <w:tab w:val="clear" w:pos="2410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6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698"/>
    <w:rPr>
      <w:rFonts w:ascii="Tahoma" w:hAnsi="Tahoma" w:cs="Tahoma"/>
      <w:sz w:val="16"/>
      <w:szCs w:val="16"/>
    </w:rPr>
  </w:style>
  <w:style w:type="paragraph" w:customStyle="1" w:styleId="xl28">
    <w:name w:val="xl28"/>
    <w:basedOn w:val="Normal"/>
    <w:rsid w:val="00E256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9B"/>
    <w:rPr>
      <w:sz w:val="24"/>
      <w:szCs w:val="24"/>
    </w:rPr>
  </w:style>
  <w:style w:type="paragraph" w:styleId="Titre1">
    <w:name w:val="heading 1"/>
    <w:basedOn w:val="Titre5"/>
    <w:next w:val="Normal"/>
    <w:link w:val="Titre1Car"/>
    <w:qFormat/>
    <w:rsid w:val="00AC2D9B"/>
    <w:pPr>
      <w:outlineLvl w:val="0"/>
    </w:pPr>
    <w:rPr>
      <w:rFonts w:eastAsia="Times New Roman" w:cs="Times New Roman"/>
    </w:rPr>
  </w:style>
  <w:style w:type="paragraph" w:styleId="Titre5">
    <w:name w:val="heading 5"/>
    <w:aliases w:val="Titre 5 Car Car"/>
    <w:basedOn w:val="Normal"/>
    <w:next w:val="Normal"/>
    <w:link w:val="Titre5Car"/>
    <w:qFormat/>
    <w:rsid w:val="00AC2D9B"/>
    <w:pPr>
      <w:tabs>
        <w:tab w:val="left" w:pos="993"/>
        <w:tab w:val="left" w:pos="2410"/>
      </w:tabs>
      <w:spacing w:before="120" w:after="120"/>
      <w:jc w:val="both"/>
      <w:outlineLvl w:val="4"/>
    </w:pPr>
    <w:rPr>
      <w:rFonts w:eastAsiaTheme="majorEastAsia" w:cstheme="majorBidi"/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qFormat/>
    <w:rsid w:val="00AC2D9B"/>
    <w:rPr>
      <w:rFonts w:ascii="Calibri" w:eastAsia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rsid w:val="00AC2D9B"/>
    <w:rPr>
      <w:b/>
      <w:bCs/>
      <w:smallCaps/>
      <w:sz w:val="24"/>
      <w:szCs w:val="24"/>
    </w:rPr>
  </w:style>
  <w:style w:type="character" w:customStyle="1" w:styleId="Titre5Car">
    <w:name w:val="Titre 5 Car"/>
    <w:aliases w:val="Titre 5 Car Car Car"/>
    <w:basedOn w:val="Policepardfaut"/>
    <w:link w:val="Titre5"/>
    <w:rsid w:val="00AC2D9B"/>
    <w:rPr>
      <w:rFonts w:eastAsiaTheme="majorEastAsia" w:cstheme="majorBidi"/>
      <w:b/>
      <w:bCs/>
      <w:smallCaps/>
      <w:sz w:val="24"/>
      <w:szCs w:val="24"/>
    </w:rPr>
  </w:style>
  <w:style w:type="character" w:styleId="lev">
    <w:name w:val="Strong"/>
    <w:uiPriority w:val="22"/>
    <w:qFormat/>
    <w:rsid w:val="00AC2D9B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2D9B"/>
    <w:pPr>
      <w:keepNext/>
      <w:keepLines/>
      <w:tabs>
        <w:tab w:val="clear" w:pos="993"/>
        <w:tab w:val="clear" w:pos="2410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6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698"/>
    <w:rPr>
      <w:rFonts w:ascii="Tahoma" w:hAnsi="Tahoma" w:cs="Tahoma"/>
      <w:sz w:val="16"/>
      <w:szCs w:val="16"/>
    </w:rPr>
  </w:style>
  <w:style w:type="paragraph" w:customStyle="1" w:styleId="xl28">
    <w:name w:val="xl28"/>
    <w:basedOn w:val="Normal"/>
    <w:rsid w:val="00E256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2022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Environnement LICIL</dc:creator>
  <cp:lastModifiedBy>Environnement LICIL</cp:lastModifiedBy>
  <cp:revision>5</cp:revision>
  <dcterms:created xsi:type="dcterms:W3CDTF">2019-01-30T12:57:00Z</dcterms:created>
  <dcterms:modified xsi:type="dcterms:W3CDTF">2019-01-30T13:12:00Z</dcterms:modified>
</cp:coreProperties>
</file>